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70651E" w:rsidRPr="00734224" w:rsidRDefault="0070651E" w:rsidP="0070651E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70651E" w:rsidRPr="00734224" w:rsidRDefault="0070651E" w:rsidP="0070651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70651E" w:rsidRPr="00734224" w:rsidRDefault="0070651E" w:rsidP="007065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0651E" w:rsidRPr="00734224" w:rsidRDefault="0070651E" w:rsidP="0070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70651E" w:rsidRPr="00734224" w:rsidRDefault="00A634AC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Основы регионального развития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 w:rsidR="00A63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</w:t>
      </w:r>
      <w:r w:rsidR="008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70651E" w:rsidRPr="00734224" w:rsidRDefault="0070651E" w:rsidP="0070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AC0552" w:rsidRPr="00AC0552" w:rsidRDefault="00AC0552" w:rsidP="00AC0552">
      <w:pPr>
        <w:pageBreakBefore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C0552" w:rsidRPr="00AC0552" w:rsidRDefault="00AC0552" w:rsidP="00AC0552">
      <w:pPr>
        <w:spacing w:after="0" w:line="240" w:lineRule="auto"/>
        <w:ind w:firstLine="70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федерального компонента государственного стандарта среднего (полного) общего образования, Закона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 (от 20.12.05 №17-4256).</w:t>
      </w:r>
      <w:proofErr w:type="gramEnd"/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рабочей программы лежит авторская программа «Основы регионального развития» </w:t>
      </w:r>
      <w:proofErr w:type="spell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Молодцовой</w:t>
      </w:r>
      <w:proofErr w:type="spell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Лисиной С.А., Петровой Н.А. Рабочая программа рассчитана на 68 часов, 2 часа в неделю. Учебник по данному предмету отсутствует, но его заменяют обширная литература по краеведению, информация с сайтов, указанных в списке учебно-методического комплекта по предмету.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учебного предмета «Основы регионального развития» – содействовать развитию личности обучающегося – жителя Красноярского края, обладающего системными знаниями об обществе и окружающем мире, способного не только оценивать происходящие события, но и принимать решения.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учебному предмету «Основы регионального развития» обеспечивает преемственность по отношению к материалу, осваиваемому </w:t>
      </w: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 в рамках предметов краевого (национально-регионального) компонента государственных образовательных стандартов общего образования в Красноярском крае, и углубленное изучение экономической, социальной, политической и духовной сфер жизни Красноярского края.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знания, жизненный и политический опыт помогут старшеклассникам не только сформировать целостную картину мира на основе регионального материала, но и разобраться во всем его многообразии, сложностях и противоречиях.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призван помочь </w:t>
      </w: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среднего (полного) общего образования ориентироваться в событиях общественно-политической жизни Красноярского края, направлен на формирование у них профессиональных интересов, навыков самостоятельного осмысления социально-экономической, политической и духовной жизни Красноярского края, становление активной гражданской позиции и развитие общей культуры.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Новизна предмета состоит в том, что его содержанием являются не понятия и представления социальных наук, а единство знаний и практических умений и навыков старшеклассников, направленное на понимание и решение проблем, реально существующих в обществе.</w:t>
      </w:r>
    </w:p>
    <w:p w:rsidR="00AC0552" w:rsidRPr="00AC0552" w:rsidRDefault="00AC0552" w:rsidP="00AC0552">
      <w:pPr>
        <w:spacing w:after="0" w:line="240" w:lineRule="auto"/>
        <w:ind w:firstLine="70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является </w:t>
      </w:r>
      <w:proofErr w:type="spell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</w:t>
      </w:r>
      <w:proofErr w:type="spell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его содержание включен материал по основам региональной политики, политологии, праву, истории, социологии.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«Основы регионального развития» направлено на достижение следующих целей:</w:t>
      </w:r>
    </w:p>
    <w:p w:rsidR="00AC0552" w:rsidRPr="00AC0552" w:rsidRDefault="00AC0552" w:rsidP="00AC055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 и правового самосознания, духовной культуры, социального мышления и способности к успешной социализации в обществе;</w:t>
      </w:r>
    </w:p>
    <w:p w:rsidR="00AC0552" w:rsidRPr="00AC0552" w:rsidRDefault="00AC0552" w:rsidP="00AC055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приверженности к гуманистическим ценностям, положенным в основу законов Красноярского края;</w:t>
      </w:r>
    </w:p>
    <w:p w:rsidR="00AC0552" w:rsidRPr="00AC0552" w:rsidRDefault="00AC0552" w:rsidP="00AC055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системы знаний о деятельности жителей Красноярского края, об обществе, его сферах, правовом регулировании общественных отношений в Красноярском крае, необходимых для эффективного взаимодействия с социальной средой;</w:t>
      </w:r>
    </w:p>
    <w:p w:rsidR="00AC0552" w:rsidRPr="00AC0552" w:rsidRDefault="00AC0552" w:rsidP="00AC055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деятельности, необходимых для позитивного участия в жизни Красноярского края;</w:t>
      </w:r>
    </w:p>
    <w:p w:rsidR="00AC0552" w:rsidRPr="00AC0552" w:rsidRDefault="00AC0552" w:rsidP="00AC055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в сфере гражданской и общественной деятельности, межличностных отношений, включая отношения между людьми разных национальностей и народов, проживающих на территории Красноярского края, познавательной, коммуникативной, семейно-бытовой деятельности.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по предмету проводятся в различных формах: исследование, моделирование, работа в группах, деловые игры, дискуссии, создание и защита проектов и другие.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Итогом работы обучающихся</w:t>
      </w: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социальные проекты, мультимедиа презентации, статьи и репортажи для средств массовой информации, научно-исследовательские работы, рефераты, сообщения.</w:t>
      </w:r>
    </w:p>
    <w:p w:rsidR="00AC0552" w:rsidRPr="00AC0552" w:rsidRDefault="00AC0552" w:rsidP="00AC055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учебного предмета «Основы регионального развития» </w:t>
      </w: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AC0552" w:rsidRPr="00AC0552" w:rsidRDefault="00AC0552" w:rsidP="00AC055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место и роль человека в системе общественных отношений Красноярского края;</w:t>
      </w:r>
    </w:p>
    <w:p w:rsidR="00AC0552" w:rsidRPr="00AC0552" w:rsidRDefault="00AC0552" w:rsidP="00AC055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тенденции политико-экономического и социального развития Красноярского края;</w:t>
      </w:r>
    </w:p>
    <w:p w:rsidR="00AC0552" w:rsidRPr="00AC0552" w:rsidRDefault="00AC0552" w:rsidP="00AC055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явления и события, происходящие в современной социальной жизни Красноярского края;</w:t>
      </w:r>
    </w:p>
    <w:p w:rsidR="00AC0552" w:rsidRPr="00AC0552" w:rsidRDefault="00AC0552" w:rsidP="00AC055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использовать приобретенные знания и умения в практической деятельности и повседневной жизни </w:t>
      </w:r>
      <w:proofErr w:type="gramStart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552" w:rsidRPr="00AC0552" w:rsidRDefault="00AC0552" w:rsidP="00AC055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выполнения типичных социальных ролей, сознательного взаимодействия с социальными институтами;</w:t>
      </w:r>
    </w:p>
    <w:p w:rsidR="00AC0552" w:rsidRPr="00AC0552" w:rsidRDefault="00AC0552" w:rsidP="00AC055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адаптации к социальной среде Красноярского края;</w:t>
      </w:r>
    </w:p>
    <w:p w:rsidR="00AC0552" w:rsidRPr="00AC0552" w:rsidRDefault="00AC0552" w:rsidP="00AC055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в области социальных отношений по типу «человек – человек», «человек – общество»;</w:t>
      </w:r>
    </w:p>
    <w:p w:rsidR="00AC0552" w:rsidRPr="00AC0552" w:rsidRDefault="00AC0552" w:rsidP="00AC055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ориентировки в актуальных общественных событиях и процессах, выработки </w:t>
      </w:r>
      <w:r w:rsidRPr="00AC0552">
        <w:rPr>
          <w:rFonts w:ascii="Times New Roman" w:eastAsia="Calibri" w:hAnsi="Times New Roman" w:cs="Times New Roman"/>
          <w:sz w:val="28"/>
          <w:szCs w:val="28"/>
        </w:rPr>
        <w:t>собственной гражданской позиции.</w:t>
      </w:r>
    </w:p>
    <w:p w:rsidR="00AC0552" w:rsidRPr="00AC0552" w:rsidRDefault="00AC0552" w:rsidP="00AC0552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</w:t>
      </w:r>
      <w:r w:rsidR="0036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Основное содержание курса </w:t>
      </w:r>
    </w:p>
    <w:p w:rsidR="00AC0552" w:rsidRPr="00AC0552" w:rsidRDefault="00AC0552" w:rsidP="00AC05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36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68 часов</w:t>
      </w:r>
    </w:p>
    <w:p w:rsidR="00AC0552" w:rsidRPr="00AC0552" w:rsidRDefault="00AC0552" w:rsidP="00AC05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36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10 класс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1.Красноярский край – субъект Российской Федерации (6 часов).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2.Введение: регионы и региональная политика.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3.Красноярский край как часть Российской Федерации. Особенности геополитического положения Красноярского края.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4.Политическая система Красноярского края, ее структура и функции. Современное политическое развитие Красноярского края (30 часов).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5.Основы организации государственной власти в Красноярском крае. 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6.Устав Красноярского края – Основной закон края.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7.Региональные отделения политических партий в Красноярском крае и их влияние на жизнь региона. Общественные объединения в Красноярском крае.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8.Местное самоуправление как институт демократического общества. Роль органов местного самоуправления в общественной жизни Красноярского края и местного (территориального) сообщества.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9.Участие граждан в общественно-политической жизни Красноярского края. Общеобразовательное учреждение – центр местного (территориального) сообщества. 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10.Политическая культура жителя Красноярского края.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11.Политическая жизнь Красноярского края: тенденции и особенности.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12.Правовой статус жителя Красноярского края – гражданина России (16 часов).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13.Права и обязанности жителя Красноярского края – гражданина России. Защита прав человека и гражданина в Красноярском крае. Правоохранительные органы и правозащитные организации Красноярского края. 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14.Защита прав несовершеннолетних в Красноярском крае. Органы и организации, осуществляющие правовую и социальную защиту ребенка в Красноярском крае. Деятельность Уполномоченного по правам ребенка в Красноярском крае.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15.Социальное проектирование (12 часов).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16.Этапы социального проектирования.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17.Мой выбор – моя малая Родина. Обобщающий урок (2 часа).</w:t>
      </w:r>
    </w:p>
    <w:p w:rsidR="00AC0552" w:rsidRPr="00AC0552" w:rsidRDefault="00AC0552" w:rsidP="00AC05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sz w:val="28"/>
          <w:szCs w:val="28"/>
          <w:lang w:eastAsia="ru-RU"/>
        </w:rPr>
        <w:t>18.Резерв (2 часа).</w:t>
      </w:r>
    </w:p>
    <w:p w:rsidR="00AC0552" w:rsidRPr="00AC0552" w:rsidRDefault="00AC0552" w:rsidP="00AC0552">
      <w:pPr>
        <w:pageBreakBefore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</w:t>
      </w:r>
      <w:r w:rsidR="0036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AC0552" w:rsidRPr="00AC0552" w:rsidRDefault="00AC0552" w:rsidP="00AC0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регионального развития</w:t>
      </w:r>
    </w:p>
    <w:p w:rsidR="00AC0552" w:rsidRPr="00AC0552" w:rsidRDefault="00AC0552" w:rsidP="00AC05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 (68 часов)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75"/>
        <w:gridCol w:w="915"/>
        <w:gridCol w:w="4290"/>
        <w:gridCol w:w="2179"/>
        <w:gridCol w:w="2385"/>
      </w:tblGrid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 (творческое)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0552" w:rsidRPr="00AC0552" w:rsidTr="00AC0552">
        <w:trPr>
          <w:tblCellSpacing w:w="15" w:type="dxa"/>
        </w:trPr>
        <w:tc>
          <w:tcPr>
            <w:tcW w:w="10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1: Красноярский край – субъект Российской Федерации</w:t>
            </w: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Введение: регионы и региональная политика.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презентации по теме: Региональные конфликты в современной России.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Введение: регионы и региональная политика.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Введение: регионы и региональная политика.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 как часть Российской Федерации.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геополитического положения Красноярского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Красноярского края, ее структура и функции.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10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2: Современное политическое развитие Красноярского края</w:t>
            </w: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организации государственной власти в Красноярском крае. 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«Органы государственной власти в Красноярском </w:t>
            </w: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организации государственной власти в </w:t>
            </w: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Красноярском крае.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организации государственной власти в Красноярском крае.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Красноярского края – Основной закон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Красноярского края – Основной закон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Красноярского края – Основной закон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отделения политических партий в Красноярском крае и их влияние на жизнь региона.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презентации «Партии на территории Красноярского края»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отделения политических партий в Красноярском крае и их влияние на жизнь региона.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отделения политических партий в Красноярском крае и их влияние на жизнь региона.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объединения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объединения в Красноярском крае.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«Эволюция местного </w:t>
            </w: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в России»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Общественные объединения в </w:t>
            </w: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самоуправление как институт демократического 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самоуправление как институт демократического общества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органов местного самоуправления в общественной жизни Красноярского края и местного (территориального)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органов местного самоуправления в общественной жизни Красноярского края и местного (территориального)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органов местного самоуправления в общественной жизни Красноярского края и местного (территориального)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rHeight w:val="345"/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ОУ-центр местного территориального общества е учреждение – центр местного (территориального) сообщества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«Устав класса»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</w:t>
            </w: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– центр местного (территориального)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 – центр местного (территориального) сообщества.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 жителя Красноярского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Красноярского края: тенденции и особенности.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Красноярского края: тенденции и особенности.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Красноярского края: тенденции и особенности.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сводку новостей о событиях политической жизни Красноярского края за год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урок: «Политическая система»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зачёт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rHeight w:val="855"/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35.</w:t>
            </w:r>
          </w:p>
          <w:p w:rsidR="00AC0552" w:rsidRPr="00AC0552" w:rsidRDefault="00AC0552" w:rsidP="00AC055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система: «Партии и движения»</w:t>
            </w:r>
          </w:p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rHeight w:val="1005"/>
          <w:tblCellSpacing w:w="15" w:type="dxa"/>
        </w:trPr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теме: «Политика»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52" w:rsidRPr="00AC0552" w:rsidTr="00AC0552">
        <w:trPr>
          <w:trHeight w:val="1035"/>
          <w:tblCellSpacing w:w="15" w:type="dxa"/>
        </w:trPr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Политические  партии и движения в крае.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10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Тема 3: Правовой статус жителя Красноярского края – гражданина России </w:t>
            </w: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жителя Красноярского края – гражданина России.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жителя Красноярского края – гражданина России.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человека и гражданина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человека и гражданина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Правоохранительные органы и правозащитные организации Красноярского края.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Правоохранительные органы и правозащитные организации Красноярского края.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Правоохранительные органы и правозащитные организации Красноярского края.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несовершеннолетних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несовершеннолетних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несовершеннолетних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 организации, осуществляющие правовую и социальную защиту ребенка в Красноярском крае.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и организации, осуществляющие правовую и социальную защиту ребенка в Красноярском крае.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Уполномоченного по правам ребенка в Красноярском крае.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Уполномоченного по правам ребенка в Красноярском крае.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105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4: Социальное проектирование</w:t>
            </w: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социального проектирования.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социальные проекты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социального проектирования.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социального проектирования.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социального проектирования.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социального проектирования.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выбор – моя малая Родина.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C0552" w:rsidRPr="00AC0552" w:rsidTr="00AC0552">
        <w:trPr>
          <w:tblCellSpacing w:w="15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C0552" w:rsidRPr="00AC0552" w:rsidRDefault="00AC0552" w:rsidP="00AC05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552" w:rsidRPr="00AC0552" w:rsidRDefault="00AC0552" w:rsidP="00AC0552">
            <w:pPr>
              <w:pageBreakBefore/>
              <w:shd w:val="clear" w:color="auto" w:fill="FFFFFF"/>
              <w:spacing w:before="100" w:beforeAutospacing="1" w:after="202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  <w:r w:rsidRPr="00AC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C0552" w:rsidRPr="00AC0552" w:rsidRDefault="00AC0552" w:rsidP="00A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552" w:rsidRPr="00AC0552" w:rsidRDefault="00AC0552" w:rsidP="00AC05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AC0552" w:rsidRPr="00AC0552" w:rsidRDefault="00AC0552" w:rsidP="00AC0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1E" w:rsidRDefault="0070651E" w:rsidP="0070651E"/>
    <w:p w:rsidR="0070651E" w:rsidRDefault="0070651E" w:rsidP="0070651E"/>
    <w:p w:rsidR="009B6514" w:rsidRDefault="009B6514"/>
    <w:sectPr w:rsidR="009B6514" w:rsidSect="007065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901"/>
    <w:multiLevelType w:val="multilevel"/>
    <w:tmpl w:val="665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6422"/>
    <w:multiLevelType w:val="multilevel"/>
    <w:tmpl w:val="6DC6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052D0"/>
    <w:multiLevelType w:val="multilevel"/>
    <w:tmpl w:val="5810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1E"/>
    <w:rsid w:val="00361BB3"/>
    <w:rsid w:val="0070651E"/>
    <w:rsid w:val="00824AE9"/>
    <w:rsid w:val="009B6514"/>
    <w:rsid w:val="00A634AC"/>
    <w:rsid w:val="00A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9</cp:revision>
  <dcterms:created xsi:type="dcterms:W3CDTF">2015-09-05T13:34:00Z</dcterms:created>
  <dcterms:modified xsi:type="dcterms:W3CDTF">2015-09-05T15:34:00Z</dcterms:modified>
</cp:coreProperties>
</file>