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РОССИЙСКАЯ   ФЕДЕРАЦИЯ  </w:t>
      </w:r>
    </w:p>
    <w:p w:rsidR="00EC5BA4" w:rsidRPr="00734224" w:rsidRDefault="00EC5BA4" w:rsidP="00EC5BA4">
      <w:pPr>
        <w:keepNext/>
        <w:tabs>
          <w:tab w:val="left" w:pos="7680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ТАЙМЫРСКИЙ  (ДОЛГАНО – НЕНЕЦКИЙ</w:t>
      </w:r>
      <w:proofErr w:type="gramStart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)</w:t>
      </w:r>
      <w:proofErr w:type="gramEnd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МУНИЦИПАЛЬНЫЙ  РАЙОН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ТАЙМЫРСКОЕ МУНИЦИПАЛЬНОЕ КАЗЕННОЕ ОБРАЗОВАТЕЛЬНОЕ УЧРЕЖДЕНИЕ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«ХАТАНГСКАЯ СРЕДНЯЯ ОБЩЕОБРАЗОВАТЕЛЬНАЯ ШКОЛА-ИНТЕРНАТ»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(ТМКОУ  «ХАТАНГСКАЯ  СРЕДНЯЯ  ШКОЛА-ИНТЕРНАТ»)  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  ХАТАНГА</w:t>
      </w:r>
    </w:p>
    <w:p w:rsidR="00EC5BA4" w:rsidRPr="00734224" w:rsidRDefault="00EC5BA4" w:rsidP="00EC5B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647460   с. Хатанга  ул. Краснопеев 27,  телефон  2-1068 ,  (839176) 2-10-68, 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taimyr</w:t>
      </w:r>
      <w:proofErr w:type="spellEnd"/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2.2@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ru</w:t>
      </w:r>
      <w:proofErr w:type="spellEnd"/>
    </w:p>
    <w:p w:rsidR="00EC5BA4" w:rsidRPr="00734224" w:rsidRDefault="00EC5BA4" w:rsidP="00EC5B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ИНН/КПП 8403001322/840301001</w:t>
      </w:r>
    </w:p>
    <w:p w:rsidR="00EC5BA4" w:rsidRPr="00734224" w:rsidRDefault="00EC5BA4" w:rsidP="00EC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BA4" w:rsidRPr="00734224" w:rsidRDefault="00EC5BA4" w:rsidP="00EC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BA4" w:rsidRPr="00734224" w:rsidRDefault="00EC5BA4" w:rsidP="00EC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                                                                           «Согласовано»                                                                         «Рассмотрено»</w:t>
      </w:r>
    </w:p>
    <w:p w:rsidR="00EC5BA4" w:rsidRPr="00734224" w:rsidRDefault="00EC5BA4" w:rsidP="00EC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ТМКОУ «</w:t>
      </w:r>
      <w:proofErr w:type="spell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</w:p>
    <w:p w:rsidR="00EC5BA4" w:rsidRPr="00734224" w:rsidRDefault="00EC5BA4" w:rsidP="00EC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                                                                     Зам. директора по УВР                                                      на заседании МО</w:t>
      </w:r>
    </w:p>
    <w:p w:rsidR="00EC5BA4" w:rsidRPr="00734224" w:rsidRDefault="00EC5BA4" w:rsidP="00EC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Е.В. Васильева                                                                   Л.А. Чуприна                                             Протокол №_____</w:t>
      </w:r>
      <w:proofErr w:type="gram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C5BA4" w:rsidRPr="00734224" w:rsidRDefault="00EC5BA4" w:rsidP="00EC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«____»_____________2015   г.                                                   «______»___________2015    г.                                       «_____»_________2015г.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Основы регионального развития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11 </w:t>
      </w:r>
      <w:r w:rsidRPr="007342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лей истории и обществознания 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ТМКОУ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школа-интернат»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Балалайщиковой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Ирины Васильевны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разряд, первая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категория</w:t>
      </w: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A4" w:rsidRPr="0073422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Хатанга</w:t>
      </w:r>
    </w:p>
    <w:p w:rsidR="00EC5BA4" w:rsidRDefault="00EC5BA4" w:rsidP="00EC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EC5BA4" w:rsidRDefault="00EC5BA4" w:rsidP="00EC5BA4"/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Arial" w:eastAsia="Times New Roman" w:hAnsi="Arial" w:cs="Arial"/>
          <w:color w:val="202020"/>
          <w:sz w:val="28"/>
          <w:szCs w:val="28"/>
          <w:lang w:eastAsia="ru-RU"/>
        </w:rPr>
      </w:pPr>
      <w:r w:rsidRPr="00BD30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BD30D4">
        <w:rPr>
          <w:rFonts w:ascii="Arial" w:eastAsia="Times New Roman" w:hAnsi="Arial" w:cs="Arial"/>
          <w:b/>
          <w:bCs/>
          <w:color w:val="202020"/>
          <w:sz w:val="28"/>
          <w:szCs w:val="28"/>
          <w:lang w:eastAsia="ru-RU"/>
        </w:rPr>
        <w:t>ПОЯСНИТЕЛЬНАЯ ЗАПИСКА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BD30D4">
        <w:rPr>
          <w:rFonts w:ascii="Arial" w:eastAsia="Times New Roman" w:hAnsi="Arial" w:cs="Arial"/>
          <w:b/>
          <w:bCs/>
          <w:color w:val="202020"/>
          <w:sz w:val="28"/>
          <w:szCs w:val="28"/>
          <w:lang w:eastAsia="ru-RU"/>
        </w:rPr>
        <w:t>ЦЕЛИ И ЗАДАЧИ, РЕШАЕМЫЕ ПРИ РЕАЛИЗАЦИИ РАБОЧЕЙ ПРОГРАММЫ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Цель курса</w:t>
      </w: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 дать учащимся целостное представление об основах регионального развития Красноярского края, на этой основе выработать у них способность самостоятельно анализировать особенности общественного развития и современной ситуации в крае, сформировать у учащихся гражданскую позицию.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Задачи курса:</w:t>
      </w:r>
    </w:p>
    <w:p w:rsidR="00BD30D4" w:rsidRPr="00BD30D4" w:rsidRDefault="00BD30D4" w:rsidP="00BD30D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формирование у обучающихся гражданской ответственности и правового самосознания, духовной культуры, социального мышления и способности к успешной социализации в обществе;</w:t>
      </w:r>
    </w:p>
    <w:p w:rsidR="00BD30D4" w:rsidRPr="00BD30D4" w:rsidRDefault="00BD30D4" w:rsidP="00BD30D4">
      <w:pPr>
        <w:numPr>
          <w:ilvl w:val="1"/>
          <w:numId w:val="1"/>
        </w:numPr>
        <w:shd w:val="clear" w:color="auto" w:fill="F2F2F2"/>
        <w:spacing w:before="100" w:beforeAutospacing="1" w:after="45" w:line="270" w:lineRule="atLeast"/>
        <w:ind w:left="10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воспитание приверженности к гуманистическим ценностям, положенным в основу законов Красноярского края;</w:t>
      </w:r>
    </w:p>
    <w:p w:rsidR="00BD30D4" w:rsidRPr="00BD30D4" w:rsidRDefault="00BD30D4" w:rsidP="00BD30D4">
      <w:pPr>
        <w:numPr>
          <w:ilvl w:val="1"/>
          <w:numId w:val="1"/>
        </w:numPr>
        <w:shd w:val="clear" w:color="auto" w:fill="F2F2F2"/>
        <w:spacing w:before="100" w:beforeAutospacing="1" w:after="45" w:line="270" w:lineRule="atLeast"/>
        <w:ind w:left="10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освоение системы знаний о деятельности жителей Красноярского края, об обществе, его сферах, правовом регулировании общественных отношений в Красноярском крае, необходимых для эффективного взаимодействия с социальной средой;</w:t>
      </w:r>
    </w:p>
    <w:p w:rsidR="00BD30D4" w:rsidRPr="00BD30D4" w:rsidRDefault="00BD30D4" w:rsidP="00BD30D4">
      <w:pPr>
        <w:numPr>
          <w:ilvl w:val="1"/>
          <w:numId w:val="1"/>
        </w:numPr>
        <w:shd w:val="clear" w:color="auto" w:fill="F2F2F2"/>
        <w:spacing w:before="100" w:beforeAutospacing="1" w:after="45" w:line="270" w:lineRule="atLeast"/>
        <w:ind w:left="10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деятельности, необходимых для позитивного участия в жизни Красноярского края;</w:t>
      </w:r>
    </w:p>
    <w:p w:rsidR="00BD30D4" w:rsidRPr="00BD30D4" w:rsidRDefault="00BD30D4" w:rsidP="00BD30D4">
      <w:pPr>
        <w:numPr>
          <w:ilvl w:val="1"/>
          <w:numId w:val="1"/>
        </w:numPr>
        <w:shd w:val="clear" w:color="auto" w:fill="F2F2F2"/>
        <w:spacing w:before="100" w:beforeAutospacing="1" w:after="45" w:line="270" w:lineRule="atLeast"/>
        <w:ind w:left="10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в сфере гражданской и общественной деятельности, межличностных отношений, включая отношения между людьми разных национальностей и народов, проживающих на территории Красноярского края, познавательной, коммуникативной, семейно-бытовой деятельности.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НОРМАТИВНО-ПРАВОВЫЕ ДОКУМЕНТЫ</w:t>
      </w:r>
    </w:p>
    <w:p w:rsidR="00BD30D4" w:rsidRPr="00BD30D4" w:rsidRDefault="00BD30D4" w:rsidP="00BD30D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Закон РФ «Об образовании» №122-ФЗ в последней редакции от 22 августа 2004 г.;</w:t>
      </w:r>
    </w:p>
    <w:p w:rsidR="00BD30D4" w:rsidRPr="00BD30D4" w:rsidRDefault="00BD30D4" w:rsidP="00BD30D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Обязательный минимум содержания среднего (полного) общего образования (Приказ Минобразования РФ от 5 марта 2004г. №1089)</w:t>
      </w:r>
    </w:p>
    <w:p w:rsidR="00BD30D4" w:rsidRPr="00BD30D4" w:rsidRDefault="00BD30D4" w:rsidP="00BD30D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Оценка качества подготовки выпускников средней (полной) школы (Допущено Департаментом образовательных программ и стандартов общего образования МО РФ)</w:t>
      </w:r>
    </w:p>
    <w:p w:rsidR="00BD30D4" w:rsidRPr="00BD30D4" w:rsidRDefault="00BD30D4" w:rsidP="00BD30D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Базисный учебный план для общеобразовательных учреждений, реализующих программы общего образования 2004г.</w:t>
      </w:r>
    </w:p>
    <w:p w:rsidR="00BD30D4" w:rsidRPr="00BD30D4" w:rsidRDefault="00BD30D4" w:rsidP="00BD30D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</w:t>
      </w:r>
    </w:p>
    <w:p w:rsidR="00BD30D4" w:rsidRPr="00BD30D4" w:rsidRDefault="00BD30D4" w:rsidP="00BD30D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Краевой (национально-региональный) компонент государственного образовательного стандарта среднего (полного) общего образования в Красноярском крае (от 20.12.05 №17-4256)</w:t>
      </w:r>
    </w:p>
    <w:p w:rsidR="00BD30D4" w:rsidRPr="00BD30D4" w:rsidRDefault="00BD30D4" w:rsidP="00BD30D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Примерная программа учебного предмета НРК «Основы регионального развития», 10-11 класс. Авторы: </w:t>
      </w:r>
      <w:proofErr w:type="spellStart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Молодцова</w:t>
      </w:r>
      <w:proofErr w:type="spellEnd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И.В., </w:t>
      </w:r>
      <w:proofErr w:type="spellStart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Зелова</w:t>
      </w:r>
      <w:proofErr w:type="spellEnd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О.Г., Лисина С.А., Петрова Н.А., 2007 г.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СВЕДЕНИЯ О ПРОГРАММЕ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Рабочая программа составлена на основе примерной программы учебного предмета НРК «Основы регионального развития», 10-11 класс. Авторы: </w:t>
      </w:r>
      <w:proofErr w:type="spellStart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Молодцова</w:t>
      </w:r>
      <w:proofErr w:type="spellEnd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И.В., </w:t>
      </w:r>
      <w:proofErr w:type="spellStart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Зелова</w:t>
      </w:r>
      <w:proofErr w:type="spellEnd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О.Г., Лисина С.А., Петрова Н.А., 2007 г.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ОТЛИЧИТЕЛЬНЫЕ ОСОБЕННОСТИ ПРОГРАММЫ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Назначение рабочей программы – содействовать развитию </w:t>
      </w:r>
      <w:proofErr w:type="spellStart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самоактуализирующейся</w:t>
      </w:r>
      <w:proofErr w:type="spellEnd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культурно развитой личности – жителя Красноярского края, обладающего системными знаниями об обществе и окружающем мире, способного принимать и оценивать происходящие события и принимать ответственные решения.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Новизна рабочей программы состоит в том, что его содержанием являются не только понятия и представления социальных наук, а единство знаний и практических действий школьников, направленных на понимание проблем, реально существующих в окружающем учеников социуме.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Полученные знания, жизненный и политический опыт помогут старшеклассникам не только сформировать целостную картину мира на основе регионального материала, но и разобраться во всем его многообразии, сложностях и противоречиях. </w:t>
      </w: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Курс является </w:t>
      </w:r>
      <w:proofErr w:type="spellStart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межпредметным</w:t>
      </w:r>
      <w:proofErr w:type="spellEnd"/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 в его содержание включен материал по основам региональной политики, политологии, праву, истории, социологии. Учебные занятия по предмету позволяют соединить идеи, методы, практику.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соответствии с учебным планом количество учебных часов в неделю – 2 часа, согласно годовому учебному графику: рабочих недель 34. Таким образом, всего на освоение курса отводится 68 часов.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ВЕДУЩИЕ ФОРМЫ И МЕТОДЫ, ТЕХНОЛОГИИ ОБУЧЕНИЯ: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занятия с использованием компьютера;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тестовые контрольные задания по образцу ГИА (в упрощённом варианте);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терминологические диктанты;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игровые технологии;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компьютерные технологии;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технологии развития критического мышления.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Кроме того, работа по дидактическим карточкам-заданиям, подготовка сообщений и рефератов, подготовка презентаций в течение всего учебного года</w:t>
      </w: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УЧЕБНО-МЕТОДИЧЕСКИЙ КОМПЛЕКТ</w:t>
      </w:r>
    </w:p>
    <w:p w:rsidR="00BD30D4" w:rsidRPr="00BD30D4" w:rsidRDefault="00BD30D4" w:rsidP="00BD30D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Основы регионально развития. 11 класс. Пособие для учителя по реализации учебного предмета регионального компонента – Красноярск, 2007.</w:t>
      </w:r>
    </w:p>
    <w:p w:rsidR="00BD30D4" w:rsidRPr="00BD30D4" w:rsidRDefault="00BD30D4" w:rsidP="00BD30D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Конституция Российской Федерации</w:t>
      </w:r>
    </w:p>
    <w:p w:rsidR="00BD30D4" w:rsidRPr="00BD30D4" w:rsidRDefault="00BD30D4" w:rsidP="00BD30D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Устав Красноярского края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СОДЕРЖАНИЕ ПРОГРАММЫ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Обязательный минимум содержания основных образовательных программ учебного предмета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«Основы регионального развития».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Красноярский край – субъект РФ.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Политика Красноярского края: становление, современное состояние, предпосылки развития.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Политическая система, её структура и функции.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Политические партии и движения.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Экономические и политические предпосылки развития хозяйственной деятельности.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Рыночные отношения и отношения собственности, их развитие.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Особенности социальной структуры.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Отражение глобальных социальных проблем в жизни Красноярского края.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Политико – экономические и социальные перспективы развития Красноярского края.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Проблемы развития духовной культуры.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Требования к уровню подготовки выпускников.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результате изучения учебного предмета «Основы регионального развития» обучающийся должен: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знать место и роль человека в системе общественных отношений Красноярского края;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знать тенденции политико-экономического и социального развития Красноярского края;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уметь анализировать явления и события;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уметь использовать приобретенные знания и умения в практической деятельности и повседневной социальной жизни Красноярского края; жизни для: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эффективного выполнения типичных социальных ролей, сознательного взаимодействия с социальными институтами;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успешной адаптации к социальной среде Красноярского края;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решения задач в области социальных отношений по типу «человек – человек», «человек – общество»;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ориентировки в актуальных общественных событиях и процессах, выработки собственной гражданской позиции.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уметь использовать приобретенные знания и умения в практической деятельности и повседневной жизни ;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эффективного выполнения типичных социальных ролей, сознательного взаимодействия с социальными институтами;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успешной адаптации к социальной среде Красноярского края;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решения задач в области социальных отношений по типу «человек – человек», «человек – общество»;</w:t>
      </w:r>
    </w:p>
    <w:p w:rsidR="00BD30D4" w:rsidRPr="00BD30D4" w:rsidRDefault="00BD30D4" w:rsidP="00BD30D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ориентировки в актуальных общественных событиях и процессах, выработки собственной гражданской позиции.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Список используемой литературы:</w:t>
      </w:r>
    </w:p>
    <w:p w:rsidR="00BD30D4" w:rsidRPr="00BD30D4" w:rsidRDefault="00BD30D4" w:rsidP="00BD30D4">
      <w:pPr>
        <w:numPr>
          <w:ilvl w:val="0"/>
          <w:numId w:val="5"/>
        </w:numPr>
        <w:shd w:val="clear" w:color="auto" w:fill="F2F2F2"/>
        <w:spacing w:before="100" w:beforeAutospacing="1" w:after="45" w:line="270" w:lineRule="atLeast"/>
        <w:ind w:left="4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Основы регионального развития. 11 класс. Пособие для учителя по реализации учебного предмета регионального компонента – Красноярск, 2007.</w:t>
      </w:r>
    </w:p>
    <w:p w:rsidR="00BD30D4" w:rsidRPr="00BD30D4" w:rsidRDefault="00BD30D4" w:rsidP="00BD30D4">
      <w:pPr>
        <w:numPr>
          <w:ilvl w:val="0"/>
          <w:numId w:val="5"/>
        </w:numPr>
        <w:shd w:val="clear" w:color="auto" w:fill="F2F2F2"/>
        <w:spacing w:before="100" w:beforeAutospacing="1" w:after="45" w:line="270" w:lineRule="atLeast"/>
        <w:ind w:left="4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Конституция РФ – М,: АСТ: АСТРЕЛЬ, 2005.</w:t>
      </w:r>
    </w:p>
    <w:p w:rsidR="00BD30D4" w:rsidRPr="00BD30D4" w:rsidRDefault="00BD30D4" w:rsidP="00BD30D4">
      <w:pPr>
        <w:numPr>
          <w:ilvl w:val="0"/>
          <w:numId w:val="5"/>
        </w:numPr>
        <w:shd w:val="clear" w:color="auto" w:fill="F2F2F2"/>
        <w:spacing w:before="100" w:beforeAutospacing="1" w:after="45" w:line="270" w:lineRule="atLeast"/>
        <w:ind w:left="4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Красноярье: пять веков истории: учебное пособие  по краеведению. Ч.1 и 2/рук. Н.И. Дроздов.- Красноярск: Платина,2005.</w:t>
      </w:r>
    </w:p>
    <w:p w:rsidR="00BD30D4" w:rsidRPr="00BD30D4" w:rsidRDefault="00BD30D4" w:rsidP="00BD30D4">
      <w:pPr>
        <w:numPr>
          <w:ilvl w:val="0"/>
          <w:numId w:val="5"/>
        </w:numPr>
        <w:shd w:val="clear" w:color="auto" w:fill="F2F2F2"/>
        <w:spacing w:before="100" w:beforeAutospacing="1" w:after="45" w:line="270" w:lineRule="atLeast"/>
        <w:ind w:left="4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Закон РФ «О занятости населения в РФ» №1032 -1 от 19.04.1991 г.</w:t>
      </w:r>
    </w:p>
    <w:p w:rsidR="00BD30D4" w:rsidRPr="00BD30D4" w:rsidRDefault="00BD30D4" w:rsidP="00BD30D4">
      <w:pPr>
        <w:numPr>
          <w:ilvl w:val="0"/>
          <w:numId w:val="5"/>
        </w:numPr>
        <w:shd w:val="clear" w:color="auto" w:fill="F2F2F2"/>
        <w:spacing w:before="100" w:beforeAutospacing="1" w:after="45" w:line="270" w:lineRule="atLeast"/>
        <w:ind w:left="4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НКК газета.</w:t>
      </w:r>
    </w:p>
    <w:p w:rsidR="00BD30D4" w:rsidRPr="00BD30D4" w:rsidRDefault="00BD30D4" w:rsidP="00BD30D4">
      <w:pPr>
        <w:numPr>
          <w:ilvl w:val="0"/>
          <w:numId w:val="5"/>
        </w:numPr>
        <w:shd w:val="clear" w:color="auto" w:fill="F2F2F2"/>
        <w:spacing w:before="100" w:beforeAutospacing="1" w:after="45" w:line="270" w:lineRule="atLeast"/>
        <w:ind w:left="4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Журналы компании «Норильский Никель».</w:t>
      </w:r>
    </w:p>
    <w:p w:rsidR="00BD30D4" w:rsidRPr="00BD30D4" w:rsidRDefault="00BD30D4" w:rsidP="00BD30D4">
      <w:pPr>
        <w:numPr>
          <w:ilvl w:val="0"/>
          <w:numId w:val="5"/>
        </w:numPr>
        <w:shd w:val="clear" w:color="auto" w:fill="F2F2F2"/>
        <w:spacing w:before="100" w:beforeAutospacing="1" w:after="45" w:line="270" w:lineRule="atLeast"/>
        <w:ind w:left="4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Всё о Красноярске http:www.yarsk,ru</w:t>
      </w:r>
    </w:p>
    <w:p w:rsidR="00BD30D4" w:rsidRPr="00BD30D4" w:rsidRDefault="00BD30D4" w:rsidP="00BD30D4">
      <w:pPr>
        <w:numPr>
          <w:ilvl w:val="0"/>
          <w:numId w:val="5"/>
        </w:numPr>
        <w:shd w:val="clear" w:color="auto" w:fill="F2F2F2"/>
        <w:spacing w:before="100" w:beforeAutospacing="1" w:after="45" w:line="270" w:lineRule="atLeast"/>
        <w:ind w:left="45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Информационный портал Красноярского края http:www.24rus.ru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                                                  КАЛЕНДАРНО-ТЕМАТИЧЕСКОЕ ПЛАНИРОВАНИЕ. </w:t>
      </w:r>
    </w:p>
    <w:p w:rsidR="00BD30D4" w:rsidRPr="00BD30D4" w:rsidRDefault="00BD30D4" w:rsidP="00BD30D4">
      <w:pPr>
        <w:shd w:val="clear" w:color="auto" w:fill="F2F2F2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11 КЛАСС </w:t>
      </w:r>
    </w:p>
    <w:tbl>
      <w:tblPr>
        <w:tblW w:w="15030" w:type="dxa"/>
        <w:tblBorders>
          <w:top w:val="single" w:sz="6" w:space="0" w:color="C1C1C1"/>
          <w:left w:val="single" w:sz="6" w:space="0" w:color="C1C1C1"/>
          <w:bottom w:val="single" w:sz="6" w:space="0" w:color="C1C1C1"/>
          <w:right w:val="single" w:sz="6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140"/>
        <w:gridCol w:w="990"/>
        <w:gridCol w:w="8505"/>
        <w:gridCol w:w="3405"/>
      </w:tblGrid>
      <w:tr w:rsidR="00BD30D4" w:rsidRPr="00BD30D4" w:rsidTr="00BD30D4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Раздел, тема урока</w:t>
            </w:r>
          </w:p>
        </w:tc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Практические работы и формы контроля</w:t>
            </w:r>
          </w:p>
        </w:tc>
      </w:tr>
      <w:tr w:rsidR="00BD30D4" w:rsidRPr="00BD30D4" w:rsidTr="00BD30D4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0D4" w:rsidRPr="00BD30D4" w:rsidRDefault="00BD30D4" w:rsidP="00BD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</w:p>
        </w:tc>
      </w:tr>
      <w:tr w:rsidR="00BD30D4" w:rsidRPr="00BD30D4" w:rsidTr="00BD30D4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D30D4" w:rsidRPr="00BD30D4" w:rsidRDefault="00BD30D4" w:rsidP="00BD30D4">
      <w:pPr>
        <w:shd w:val="clear" w:color="auto" w:fill="F2F2F2"/>
        <w:spacing w:line="300" w:lineRule="atLeast"/>
        <w:rPr>
          <w:rFonts w:ascii="Times New Roman" w:eastAsia="Times New Roman" w:hAnsi="Times New Roman" w:cs="Times New Roman"/>
          <w:vanish/>
          <w:color w:val="202020"/>
          <w:sz w:val="28"/>
          <w:szCs w:val="28"/>
          <w:lang w:eastAsia="ru-RU"/>
        </w:rPr>
      </w:pPr>
    </w:p>
    <w:tbl>
      <w:tblPr>
        <w:tblW w:w="14985" w:type="dxa"/>
        <w:tblBorders>
          <w:top w:val="single" w:sz="6" w:space="0" w:color="C1C1C1"/>
          <w:left w:val="single" w:sz="6" w:space="0" w:color="C1C1C1"/>
          <w:bottom w:val="single" w:sz="6" w:space="0" w:color="C1C1C1"/>
          <w:right w:val="single" w:sz="6" w:space="0" w:color="C1C1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002"/>
        <w:gridCol w:w="36"/>
        <w:gridCol w:w="36"/>
        <w:gridCol w:w="36"/>
        <w:gridCol w:w="36"/>
        <w:gridCol w:w="998"/>
        <w:gridCol w:w="8449"/>
        <w:gridCol w:w="3435"/>
      </w:tblGrid>
      <w:tr w:rsidR="00BD30D4" w:rsidRPr="00BD30D4" w:rsidTr="00BD30D4">
        <w:tc>
          <w:tcPr>
            <w:tcW w:w="149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Экономические и политические предпосылки развития хозяйственной деятельности в Красноярском крае. Рыночные отношения и отношения собственности в Красноярском крае, их развитие (32 часа)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Стратегия социально- экономического развития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Лидеры экономики Красноярского края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Экономические показатели развития региона. Методы оценки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Планирование и прогнозирование развития регионов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Оценка регионов России по объему ВРП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Основы рыночных отношений в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Элементы традиционной экономики в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Смешанная экономика, элементы планирования перспектив развития производства.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Социально-экономическое развитие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Социально-экономическое развитие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Социально-экономическое развитие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Социальная политика занятости.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Социальная политика занятости.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Социальная политика занятости.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Особенности трудовых отношений в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Особенности трудовых отношений в крае. изменить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Требования к современному работнику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Разработка требований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Требования к современному работнику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Разработка требований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Рынок труда в крае. Безработица и ее основные показатели.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Разработка требований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Рынок труда в крае. Безработица и ее основные показатели.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Предпринимательство в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Предпринимательство в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Политика развития малого и среднего бизнеса в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Семинар «Современное предпринимательство»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Политика развития малого и среднего бизнеса в НПР.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30D4" w:rsidRPr="00BD30D4" w:rsidRDefault="00BD30D4" w:rsidP="00BD30D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Особенности развития </w:t>
            </w:r>
            <w:proofErr w:type="spellStart"/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микротерриторий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30D4" w:rsidRPr="00BD30D4" w:rsidRDefault="00BD30D4" w:rsidP="00BD30D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Конференция «Территориальные образования края»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30D4" w:rsidRPr="00BD30D4" w:rsidRDefault="00BD30D4" w:rsidP="00BD30D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Конференция «Территориальные образования края»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30D4" w:rsidRPr="00BD30D4" w:rsidRDefault="00BD30D4" w:rsidP="00BD30D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Конференция «Территориальные образования края»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Конференция «Территориальные образования края»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149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Особенности социальной структуры Красноярского края (14 часов)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Отражение глобальных социальных проблем в жизни Красноярского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Социальная структура Красноярского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Социальная структура Красноярского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Основные тенденции развития социальной жизни общества.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Основные тенденции развития социальной жизни общества.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Основные тенденции развития социальной жизни общества.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Социальное неравенство.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Социальное неравенство.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Проблема бедности.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Разработка путей решения проблемы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Демографические процессы в Красноярском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Демографические процессы в Красноярском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Основные тенденции в развитии межнациональных отношений в Красноярском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Контроль по теме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Семинар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Контроль по теме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149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Проблемы развития духовной культуры в Красноярском крае (10 часов)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Особенности культурной жизни Красноярского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Особенности культурной жизни Красноярского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Образ жизни, особенности менталитета населения региона.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Написание эссе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Образ жизни, особенности менталитета населения региона.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Образ жизни, особенности менталитета населения региона.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Развитие образования и науки в Красноярском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Развитие образования и науки в Красноярском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Развитие образования и науки в Красноярском крае.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Конференция «Духовная жизнь Красноярья»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Конференция «Духовная жизнь Красноярья»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149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Отражение глобальных проблем общества в жизни Красноярского края (5 часов)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Красноярский край в глобальном мире.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Решение глобальных проблем. Деятельность градообразующих </w:t>
            </w: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lastRenderedPageBreak/>
              <w:t>предприятий в решении глобальных проблем.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1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Проектная работа " Живой город"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Проектная работа " Живой город"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149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30.Политико-экономические и социальные перспективы развития Красноярского края (4 часа)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Перспективы развития Красноярского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Перспективы развития Красноярского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Национальные приоритетные проекты в развитии края.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 xml:space="preserve">БУДУЩЕЕ КРАЯ - ЭТО... 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 xml:space="preserve">БУДУЩЕЕ КРАЯ - ЭТО... 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 xml:space="preserve">БУДУЩЕЕ КРАЯ - ЭТО... </w:t>
            </w:r>
          </w:p>
          <w:p w:rsidR="00BD30D4" w:rsidRPr="00BD30D4" w:rsidRDefault="00BD30D4" w:rsidP="00BD30D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BD30D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Обобщающий урок.</w:t>
            </w:r>
            <w:r w:rsidRPr="00BD30D4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D30D4" w:rsidRPr="00BD30D4" w:rsidTr="00BD30D4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0D4" w:rsidRPr="00BD30D4" w:rsidRDefault="00BD30D4" w:rsidP="00BD30D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D30D4" w:rsidRPr="00BD30D4" w:rsidRDefault="00BD30D4" w:rsidP="00BD30D4">
      <w:pPr>
        <w:rPr>
          <w:rFonts w:ascii="Times New Roman" w:eastAsia="Calibri" w:hAnsi="Times New Roman" w:cs="Times New Roman"/>
          <w:sz w:val="28"/>
          <w:szCs w:val="28"/>
        </w:rPr>
      </w:pPr>
    </w:p>
    <w:p w:rsidR="00E079B2" w:rsidRDefault="00E079B2">
      <w:bookmarkStart w:id="0" w:name="_GoBack"/>
      <w:bookmarkEnd w:id="0"/>
    </w:p>
    <w:sectPr w:rsidR="00E079B2" w:rsidSect="00EC5B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23C2"/>
    <w:multiLevelType w:val="multilevel"/>
    <w:tmpl w:val="26E8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577AB"/>
    <w:multiLevelType w:val="multilevel"/>
    <w:tmpl w:val="7BB8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14253"/>
    <w:multiLevelType w:val="multilevel"/>
    <w:tmpl w:val="4CDA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B47C1"/>
    <w:multiLevelType w:val="multilevel"/>
    <w:tmpl w:val="F930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F14D6"/>
    <w:multiLevelType w:val="multilevel"/>
    <w:tmpl w:val="063C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4"/>
    <w:rsid w:val="00BD30D4"/>
    <w:rsid w:val="00E079B2"/>
    <w:rsid w:val="00E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3</cp:revision>
  <dcterms:created xsi:type="dcterms:W3CDTF">2015-09-05T14:35:00Z</dcterms:created>
  <dcterms:modified xsi:type="dcterms:W3CDTF">2015-09-05T14:37:00Z</dcterms:modified>
</cp:coreProperties>
</file>